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709"/>
        <w:jc w:val="right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ИНФОРМАЦИОННЫЙ МЕМОРАНДУМ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«О совместной Программе (по льготному кредитованию и импортозамещению)  _________________________ и Оргкомитета конкурса «Регионы - устойчивое развитие» по льготному кредитованию малых, средних и крупных предприятий, реализующих инвестиционные проекты/ бизнес – инициативы с господдержкой (госучастием)» и выстраиванию логистических цепочек по подбору контрагентов по направлениям. 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>
      <w:pPr>
        <w:ind w:firstLine="709"/>
        <w:jc w:val="center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Уважаемые предприниматели _____________ области / края!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Правительством Российской Федерации в условиях внешнего санкционного давления принят ряд программ государственной поддержки для предприятий МСП и производственных компаний крупного бизнеса. 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Данные программы требует для предприятий ускоренного разъяснения бизнес - сообществу  по механизмам поддержки и механизмам их получения.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Также, в связи с текущей ситуацией, связанной с санкционным давлением, произошли нарушения логистических цепочек у российских предприятий.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данной связи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___________________ </w:t>
      </w:r>
      <w:r>
        <w:rPr>
          <w:rFonts w:ascii="Times New Roman" w:hAnsi="Times New Roman" w:cs="Times New Roman"/>
          <w:lang w:val="ru-RU"/>
        </w:rPr>
        <w:t xml:space="preserve">совместно с </w:t>
      </w:r>
      <w:bookmarkStart w:id="0" w:name="_GoBack"/>
      <w:bookmarkEnd w:id="0"/>
      <w:r>
        <w:rPr>
          <w:rFonts w:ascii="Times New Roman" w:hAnsi="Times New Roman" w:cs="Times New Roman"/>
          <w:lang w:val="ru-RU"/>
        </w:rPr>
        <w:t xml:space="preserve">Оргкомитетом начали работу по следующим направлениям: </w:t>
      </w:r>
    </w:p>
    <w:p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отбор, консультации по структурированию сделок по инвестиционным проектам (заявкам) на </w:t>
      </w:r>
      <w:r>
        <w:rPr>
          <w:rFonts w:ascii="Times New Roman" w:hAnsi="Times New Roman" w:cs="Times New Roman"/>
          <w:b/>
          <w:u w:val="single"/>
          <w:lang w:val="ru-RU"/>
        </w:rPr>
        <w:t>льготное кредитование</w:t>
      </w:r>
      <w:r>
        <w:rPr>
          <w:rFonts w:ascii="Times New Roman" w:hAnsi="Times New Roman" w:cs="Times New Roman"/>
          <w:lang w:val="ru-RU"/>
        </w:rPr>
        <w:t xml:space="preserve"> по направлениям, с учетом принятых программ поддержки, реализация которых возможна при государственной поддержке (госучастии) (Форма заявка на льготное кредитование, Приложение №1) </w:t>
      </w:r>
    </w:p>
    <w:p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u w:val="single"/>
          <w:lang w:val="ru-RU"/>
        </w:rPr>
        <w:t>Подбору контрагентов для закупки</w:t>
      </w:r>
      <w:r>
        <w:rPr>
          <w:rFonts w:ascii="Times New Roman" w:hAnsi="Times New Roman" w:cs="Times New Roman"/>
          <w:lang w:val="ru-RU"/>
        </w:rPr>
        <w:t xml:space="preserve"> сырья, комплектующих, технологического оборудования и иной продукции из стран Азии, Европы, Южной Америки. (Форма опросника по подбору контрагентов, Приложение №4)</w:t>
      </w:r>
    </w:p>
    <w:p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b/>
          <w:u w:val="single"/>
          <w:lang w:val="ru-RU"/>
        </w:rPr>
        <w:t>Организация логистики по поставке</w:t>
      </w:r>
      <w:r>
        <w:rPr>
          <w:rFonts w:ascii="Times New Roman" w:hAnsi="Times New Roman" w:cs="Times New Roman"/>
          <w:lang w:val="ru-RU"/>
        </w:rPr>
        <w:t xml:space="preserve"> сырья, комплектующих, технологического оборудования и иной продукции из стран Азии, Европы, Южной Америки (Форма опросника по логистике, Приложение №5). </w:t>
      </w:r>
      <w:proofErr w:type="gramEnd"/>
    </w:p>
    <w:p>
      <w:pPr>
        <w:pStyle w:val="a4"/>
        <w:ind w:left="1485"/>
        <w:jc w:val="both"/>
        <w:rPr>
          <w:rFonts w:ascii="Times New Roman" w:hAnsi="Times New Roman" w:cs="Times New Roman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b/>
          <w:u w:val="single"/>
          <w:lang w:val="ru-RU"/>
        </w:rPr>
      </w:pPr>
      <w:r>
        <w:rPr>
          <w:rFonts w:ascii="Times New Roman" w:hAnsi="Times New Roman" w:cs="Times New Roman"/>
          <w:b/>
          <w:u w:val="single"/>
          <w:lang w:val="ru-RU"/>
        </w:rPr>
        <w:t xml:space="preserve">По программе кредитования: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Работа ведется по проектам следующих типов и категорий: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Новое строительство;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Модернизация;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Реконструкция;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Перепрофилирование предприятия;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Пополнение оборотных средств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Исполнение контрактов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Локализация производства;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Приобретение произво</w:t>
      </w:r>
      <w:proofErr w:type="gramStart"/>
      <w:r>
        <w:rPr>
          <w:rFonts w:ascii="Times New Roman" w:hAnsi="Times New Roman" w:cs="Times New Roman"/>
          <w:lang w:val="ru-RU"/>
        </w:rPr>
        <w:t>дств / пр</w:t>
      </w:r>
      <w:proofErr w:type="gramEnd"/>
      <w:r>
        <w:rPr>
          <w:rFonts w:ascii="Times New Roman" w:hAnsi="Times New Roman" w:cs="Times New Roman"/>
          <w:lang w:val="ru-RU"/>
        </w:rPr>
        <w:t xml:space="preserve">едприятий. </w:t>
      </w:r>
    </w:p>
    <w:p>
      <w:pPr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Отраслевая направленность проект: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АПК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Промышленность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ЖКХ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Социальные объекты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Другие (Приложение №6)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Критерии и условия льготного кредитования в рамках утвержденных программ поддержки: 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Бюджет проекта: от 5 млн. рублей до  1 млрд. рублей;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Доля обеспеченности проекта залогом: не менее 20% от суммы кредита; 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Стоимость кредитных сре</w:t>
      </w:r>
      <w:proofErr w:type="gramStart"/>
      <w:r>
        <w:rPr>
          <w:rFonts w:ascii="Times New Roman" w:hAnsi="Times New Roman" w:cs="Times New Roman"/>
          <w:lang w:val="ru-RU"/>
        </w:rPr>
        <w:t>дств дл</w:t>
      </w:r>
      <w:proofErr w:type="gramEnd"/>
      <w:r>
        <w:rPr>
          <w:rFonts w:ascii="Times New Roman" w:hAnsi="Times New Roman" w:cs="Times New Roman"/>
          <w:lang w:val="ru-RU"/>
        </w:rPr>
        <w:t xml:space="preserve">я сельхозпроизводителей: от 5% 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Стоимость кредитных сре</w:t>
      </w:r>
      <w:proofErr w:type="gramStart"/>
      <w:r>
        <w:rPr>
          <w:rFonts w:ascii="Times New Roman" w:hAnsi="Times New Roman" w:cs="Times New Roman"/>
          <w:lang w:val="ru-RU"/>
        </w:rPr>
        <w:t>дств дл</w:t>
      </w:r>
      <w:proofErr w:type="gramEnd"/>
      <w:r>
        <w:rPr>
          <w:rFonts w:ascii="Times New Roman" w:hAnsi="Times New Roman" w:cs="Times New Roman"/>
          <w:lang w:val="ru-RU"/>
        </w:rPr>
        <w:t>я предприятий реального сектора экономики: 11-13% (базовые условия);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Срок кредитования проектов: от 3 - 7 лет</w:t>
      </w:r>
    </w:p>
    <w:p>
      <w:pPr>
        <w:ind w:left="927"/>
        <w:jc w:val="both"/>
        <w:rPr>
          <w:rFonts w:ascii="Times New Roman" w:hAnsi="Times New Roman" w:cs="Times New Roman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Прием заявок ведётся на постоянной основе.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Ответственный за взаимодействие в ______________: ______________________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Контактное лицо со стороны Организационного комитета Конкурса – Сидоров Михаил Сергеевич, конт. тел. 8 (926) 631–74–71,  8 (800) 775–10–73,  </w:t>
      </w:r>
      <w:hyperlink r:id="rId9" w:history="1">
        <w:r>
          <w:rPr>
            <w:rStyle w:val="a3"/>
            <w:rFonts w:ascii="Times New Roman" w:hAnsi="Times New Roman" w:cs="Times New Roman"/>
          </w:rPr>
          <w:t>sidorov</w:t>
        </w:r>
        <w:r>
          <w:rPr>
            <w:rStyle w:val="a3"/>
            <w:rFonts w:ascii="Times New Roman" w:hAnsi="Times New Roman" w:cs="Times New Roman"/>
            <w:lang w:val="ru-RU"/>
          </w:rPr>
          <w:t>@</w:t>
        </w:r>
        <w:r>
          <w:rPr>
            <w:rStyle w:val="a3"/>
            <w:rFonts w:ascii="Times New Roman" w:hAnsi="Times New Roman" w:cs="Times New Roman"/>
          </w:rPr>
          <w:t>infra</w:t>
        </w:r>
        <w:r>
          <w:rPr>
            <w:rStyle w:val="a3"/>
            <w:rFonts w:ascii="Times New Roman" w:hAnsi="Times New Roman" w:cs="Times New Roman"/>
            <w:lang w:val="ru-RU"/>
          </w:rPr>
          <w:t>-</w:t>
        </w:r>
        <w:r>
          <w:rPr>
            <w:rStyle w:val="a3"/>
            <w:rFonts w:ascii="Times New Roman" w:hAnsi="Times New Roman" w:cs="Times New Roman"/>
          </w:rPr>
          <w:t>konkurs</w:t>
        </w:r>
        <w:r>
          <w:rPr>
            <w:rStyle w:val="a3"/>
            <w:rFonts w:ascii="Times New Roman" w:hAnsi="Times New Roman" w:cs="Times New Roman"/>
            <w:lang w:val="ru-RU"/>
          </w:rPr>
          <w:t>.</w:t>
        </w:r>
        <w:r>
          <w:rPr>
            <w:rStyle w:val="a3"/>
            <w:rFonts w:ascii="Times New Roman" w:hAnsi="Times New Roman" w:cs="Times New Roman"/>
          </w:rPr>
          <w:t>ru</w:t>
        </w:r>
      </w:hyperlink>
      <w:r>
        <w:rPr>
          <w:rFonts w:ascii="Times New Roman" w:hAnsi="Times New Roman" w:cs="Times New Roman"/>
          <w:lang w:val="ru-RU"/>
        </w:rPr>
        <w:t xml:space="preserve">. Информацию направлять на почту: </w:t>
      </w:r>
      <w:hyperlink r:id="rId10" w:history="1">
        <w:r>
          <w:rPr>
            <w:rStyle w:val="a3"/>
            <w:rFonts w:ascii="Times New Roman" w:hAnsi="Times New Roman" w:cs="Times New Roman"/>
          </w:rPr>
          <w:t>info</w:t>
        </w:r>
        <w:r>
          <w:rPr>
            <w:rStyle w:val="a3"/>
            <w:rFonts w:ascii="Times New Roman" w:hAnsi="Times New Roman" w:cs="Times New Roman"/>
            <w:lang w:val="ru-RU"/>
          </w:rPr>
          <w:t>@</w:t>
        </w:r>
        <w:r>
          <w:rPr>
            <w:rStyle w:val="a3"/>
            <w:rFonts w:ascii="Times New Roman" w:hAnsi="Times New Roman" w:cs="Times New Roman"/>
          </w:rPr>
          <w:t>infra</w:t>
        </w:r>
        <w:r>
          <w:rPr>
            <w:rStyle w:val="a3"/>
            <w:rFonts w:ascii="Times New Roman" w:hAnsi="Times New Roman" w:cs="Times New Roman"/>
            <w:lang w:val="ru-RU"/>
          </w:rPr>
          <w:t>-</w:t>
        </w:r>
        <w:r>
          <w:rPr>
            <w:rStyle w:val="a3"/>
            <w:rFonts w:ascii="Times New Roman" w:hAnsi="Times New Roman" w:cs="Times New Roman"/>
          </w:rPr>
          <w:t>konkurs</w:t>
        </w:r>
        <w:r>
          <w:rPr>
            <w:rStyle w:val="a3"/>
            <w:rFonts w:ascii="Times New Roman" w:hAnsi="Times New Roman" w:cs="Times New Roman"/>
            <w:lang w:val="ru-RU"/>
          </w:rPr>
          <w:t>.</w:t>
        </w:r>
        <w:r>
          <w:rPr>
            <w:rStyle w:val="a3"/>
            <w:rFonts w:ascii="Times New Roman" w:hAnsi="Times New Roman" w:cs="Times New Roman"/>
          </w:rPr>
          <w:t>ru</w:t>
        </w:r>
      </w:hyperlink>
      <w:r>
        <w:rPr>
          <w:rFonts w:ascii="Times New Roman" w:hAnsi="Times New Roman" w:cs="Times New Roman"/>
          <w:lang w:val="ru-RU"/>
        </w:rPr>
        <w:t xml:space="preserve"> </w:t>
      </w:r>
    </w:p>
    <w:p>
      <w:pPr>
        <w:jc w:val="both"/>
        <w:rPr>
          <w:rFonts w:ascii="Times New Roman" w:hAnsi="Times New Roman" w:cs="Times New Roman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>
        <w:tc>
          <w:tcPr>
            <w:tcW w:w="2518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№1:</w:t>
            </w:r>
          </w:p>
        </w:tc>
        <w:tc>
          <w:tcPr>
            <w:tcW w:w="7053" w:type="dxa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Форма заявки на льготное кредитование </w:t>
            </w:r>
          </w:p>
        </w:tc>
      </w:tr>
      <w:tr>
        <w:tc>
          <w:tcPr>
            <w:tcW w:w="2518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№2:</w:t>
            </w:r>
          </w:p>
        </w:tc>
        <w:tc>
          <w:tcPr>
            <w:tcW w:w="7053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Слайд общие условия кредитования с учетом принятых программ поддержки  </w:t>
            </w:r>
          </w:p>
        </w:tc>
      </w:tr>
      <w:tr>
        <w:tc>
          <w:tcPr>
            <w:tcW w:w="2518" w:type="dxa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№3:</w:t>
            </w:r>
          </w:p>
        </w:tc>
        <w:tc>
          <w:tcPr>
            <w:tcW w:w="7053" w:type="dxa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Слайд условия кредитования  предприятий АПК с учетом программ поддержки  </w:t>
            </w:r>
          </w:p>
        </w:tc>
      </w:tr>
      <w:tr>
        <w:tc>
          <w:tcPr>
            <w:tcW w:w="2518" w:type="dxa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Приложение №4: </w:t>
            </w:r>
          </w:p>
          <w:p>
            <w:pPr>
              <w:rPr>
                <w:lang w:val="ru-RU"/>
              </w:rPr>
            </w:pPr>
          </w:p>
        </w:tc>
        <w:tc>
          <w:tcPr>
            <w:tcW w:w="7053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Слайд условия кредитования  предприятий, связанных с жилищным строительством  с учетом программ поддержки  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Приложение №5: </w:t>
            </w:r>
          </w:p>
          <w:p>
            <w:pPr>
              <w:rPr>
                <w:lang w:val="ru-RU"/>
              </w:rPr>
            </w:pP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Опросник по товарам /оборудованию / сырью / комплектующим / продукции, необходимой для обеспечения жизнедеятельности предприятия в рамках экономических ограничений (форма действительна с 09 марта 2022 года) по  доставке / поставке в РФ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Приложение №6: </w:t>
            </w:r>
          </w:p>
          <w:p>
            <w:pPr>
              <w:rPr>
                <w:lang w:val="ru-RU"/>
              </w:rPr>
            </w:pP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Опросник по подбору сырья, комплектующих, продукции, необходимой для обеспечения жизнедеятельности предприятия </w:t>
            </w:r>
          </w:p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рамках экономических ограничений (форма действительна с 09 марта 2022 года), а также логистике в РФ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№7:</w:t>
            </w: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Направленность проектов 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№8:</w:t>
            </w: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Брошюра по типовым проектам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№9:</w:t>
            </w: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QR</w:t>
            </w:r>
            <w:r>
              <w:rPr>
                <w:rFonts w:ascii="Times New Roman" w:hAnsi="Times New Roman" w:cs="Times New Roman"/>
                <w:lang w:val="ru-RU"/>
              </w:rPr>
              <w:t xml:space="preserve"> – код заявки на кредитование с учетом программ поддержки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№10</w:t>
            </w: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Слайд условия кредитования  предприятий, связанных с гостиничным бизнесом с учетом программ поддержки  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>
      <w:pPr>
        <w:rPr>
          <w:lang w:val="ru-RU"/>
        </w:rPr>
      </w:pPr>
    </w:p>
    <w:p>
      <w:pPr>
        <w:rPr>
          <w:rFonts w:ascii="Times New Roman" w:hAnsi="Times New Roman" w:cs="Times New Roman"/>
          <w:lang w:val="ru-RU"/>
        </w:rPr>
      </w:pPr>
    </w:p>
    <w:p>
      <w:pPr>
        <w:jc w:val="both"/>
        <w:rPr>
          <w:rFonts w:ascii="Times New Roman" w:hAnsi="Times New Roman" w:cs="Times New Roman"/>
          <w:lang w:val="ru-RU"/>
        </w:rPr>
      </w:pPr>
    </w:p>
    <w:p>
      <w:pPr>
        <w:rPr>
          <w:rFonts w:ascii="Times New Roman" w:hAnsi="Times New Roman" w:cs="Times New Roman"/>
          <w:lang w:val="ru-RU"/>
        </w:rPr>
      </w:pPr>
    </w:p>
    <w:p>
      <w:pPr>
        <w:rPr>
          <w:rFonts w:ascii="Times New Roman" w:hAnsi="Times New Roman" w:cs="Times New Roman"/>
          <w:lang w:val="ru-RU"/>
        </w:rPr>
      </w:pPr>
    </w:p>
    <w:p>
      <w:pPr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34C5"/>
    <w:multiLevelType w:val="hybridMultilevel"/>
    <w:tmpl w:val="65BE9C0E"/>
    <w:lvl w:ilvl="0" w:tplc="FDD0DBC8">
      <w:start w:val="1"/>
      <w:numFmt w:val="bullet"/>
      <w:lvlText w:val="—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83D7B"/>
    <w:multiLevelType w:val="hybridMultilevel"/>
    <w:tmpl w:val="8822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51922"/>
    <w:multiLevelType w:val="hybridMultilevel"/>
    <w:tmpl w:val="DC36A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D13059"/>
    <w:multiLevelType w:val="hybridMultilevel"/>
    <w:tmpl w:val="16CC18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A745959"/>
    <w:multiLevelType w:val="hybridMultilevel"/>
    <w:tmpl w:val="30BABA78"/>
    <w:lvl w:ilvl="0" w:tplc="35B2423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0712089"/>
    <w:multiLevelType w:val="hybridMultilevel"/>
    <w:tmpl w:val="DE2618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C574B6F"/>
    <w:multiLevelType w:val="hybridMultilevel"/>
    <w:tmpl w:val="28CEF1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E48395C"/>
    <w:multiLevelType w:val="hybridMultilevel"/>
    <w:tmpl w:val="DDA23240"/>
    <w:lvl w:ilvl="0" w:tplc="21BCAF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951517"/>
    <w:multiLevelType w:val="hybridMultilevel"/>
    <w:tmpl w:val="83921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7B0B3E"/>
    <w:multiLevelType w:val="hybridMultilevel"/>
    <w:tmpl w:val="DFE4B98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71006BC6"/>
    <w:multiLevelType w:val="hybridMultilevel"/>
    <w:tmpl w:val="EB6E9E18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7C1F7EF0"/>
    <w:multiLevelType w:val="hybridMultilevel"/>
    <w:tmpl w:val="163445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a5">
    <w:name w:val="Абзац списка Знак"/>
    <w:link w:val="a4"/>
    <w:uiPriority w:val="34"/>
    <w:locked/>
    <w:rPr>
      <w:rFonts w:eastAsiaTheme="minorEastAsia"/>
      <w:sz w:val="24"/>
      <w:szCs w:val="24"/>
      <w:lang w:val="en-US"/>
    </w:rPr>
  </w:style>
  <w:style w:type="paragraph" w:styleId="a8">
    <w:name w:val="footnote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eastAsiaTheme="minorEastAsia"/>
      <w:sz w:val="20"/>
      <w:szCs w:val="20"/>
      <w:lang w:val="en-US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a5">
    <w:name w:val="Абзац списка Знак"/>
    <w:link w:val="a4"/>
    <w:uiPriority w:val="34"/>
    <w:locked/>
    <w:rPr>
      <w:rFonts w:eastAsiaTheme="minorEastAsia"/>
      <w:sz w:val="24"/>
      <w:szCs w:val="24"/>
      <w:lang w:val="en-US"/>
    </w:rPr>
  </w:style>
  <w:style w:type="paragraph" w:styleId="a8">
    <w:name w:val="footnote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eastAsiaTheme="minorEastAsia"/>
      <w:sz w:val="20"/>
      <w:szCs w:val="20"/>
      <w:lang w:val="en-US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nfo@infra-konku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dorov@infra-konk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BCB7D8-28F3-4567-B32F-BF972775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trushin</cp:lastModifiedBy>
  <cp:revision>10</cp:revision>
  <dcterms:created xsi:type="dcterms:W3CDTF">2022-03-30T06:57:00Z</dcterms:created>
  <dcterms:modified xsi:type="dcterms:W3CDTF">2022-04-07T05:58:00Z</dcterms:modified>
</cp:coreProperties>
</file>